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9E" w:rsidRDefault="00FE129E" w:rsidP="00FE129E">
      <w:pPr>
        <w:rPr>
          <w:rFonts w:ascii="Arial" w:hAnsi="Arial" w:cs="Arial"/>
          <w:b/>
          <w:sz w:val="24"/>
          <w:szCs w:val="24"/>
          <w:lang w:val="en-US"/>
        </w:rPr>
      </w:pPr>
      <w:bookmarkStart w:id="0" w:name="_GoBack"/>
      <w:bookmarkEnd w:id="0"/>
    </w:p>
    <w:p w:rsidR="001E1048" w:rsidRPr="00463A43" w:rsidRDefault="001E1048" w:rsidP="001E1048">
      <w:pPr>
        <w:jc w:val="center"/>
        <w:rPr>
          <w:rFonts w:asciiTheme="minorHAnsi" w:hAnsiTheme="minorHAnsi" w:cstheme="minorHAnsi"/>
          <w:bCs/>
          <w:iCs/>
        </w:rPr>
      </w:pPr>
      <w:r w:rsidRPr="00463A43">
        <w:rPr>
          <w:rFonts w:asciiTheme="minorHAnsi" w:hAnsiTheme="minorHAnsi" w:cstheme="minorHAnsi"/>
          <w:bCs/>
          <w:iCs/>
          <w:noProof/>
        </w:rPr>
        <w:drawing>
          <wp:inline distT="0" distB="0" distL="0" distR="0" wp14:anchorId="670E6534" wp14:editId="2E4D7114">
            <wp:extent cx="603523" cy="165735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rac rou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861" cy="1669263"/>
                    </a:xfrm>
                    <a:prstGeom prst="rect">
                      <a:avLst/>
                    </a:prstGeom>
                  </pic:spPr>
                </pic:pic>
              </a:graphicData>
            </a:graphic>
          </wp:inline>
        </w:drawing>
      </w:r>
    </w:p>
    <w:p w:rsidR="001E1048" w:rsidRPr="00463A43" w:rsidRDefault="001E1048" w:rsidP="001E1048">
      <w:pPr>
        <w:jc w:val="both"/>
        <w:rPr>
          <w:rFonts w:asciiTheme="minorHAnsi" w:hAnsiTheme="minorHAnsi" w:cstheme="minorHAnsi"/>
          <w:bCs/>
          <w:iCs/>
        </w:rPr>
      </w:pPr>
      <w:r w:rsidRPr="00463A43">
        <w:rPr>
          <w:rFonts w:asciiTheme="minorHAnsi" w:hAnsiTheme="minorHAnsi" w:cstheme="minorHAnsi"/>
          <w:bCs/>
          <w:iCs/>
        </w:rPr>
        <w:t xml:space="preserve">. </w:t>
      </w:r>
    </w:p>
    <w:p w:rsidR="001E1048" w:rsidRPr="00463A43" w:rsidRDefault="001E1048" w:rsidP="001E1048">
      <w:pPr>
        <w:jc w:val="both"/>
        <w:rPr>
          <w:rFonts w:asciiTheme="minorHAnsi" w:hAnsiTheme="minorHAnsi" w:cstheme="minorHAnsi"/>
          <w:bCs/>
          <w:iCs/>
        </w:rPr>
      </w:pPr>
    </w:p>
    <w:p w:rsidR="001E1048" w:rsidRPr="00463A43" w:rsidRDefault="001E1048" w:rsidP="001E1048">
      <w:pPr>
        <w:jc w:val="both"/>
        <w:rPr>
          <w:rFonts w:asciiTheme="minorHAnsi" w:hAnsiTheme="minorHAnsi" w:cstheme="minorHAnsi"/>
          <w:bCs/>
          <w:iCs/>
        </w:rPr>
      </w:pPr>
    </w:p>
    <w:p w:rsidR="001E1048" w:rsidRPr="00463A43" w:rsidRDefault="001E1048" w:rsidP="001E1048">
      <w:pPr>
        <w:jc w:val="both"/>
        <w:rPr>
          <w:rFonts w:asciiTheme="minorHAnsi" w:hAnsiTheme="minorHAnsi" w:cstheme="minorHAnsi"/>
          <w:b/>
          <w:sz w:val="24"/>
          <w:szCs w:val="24"/>
          <w:lang w:val="pt-BR"/>
        </w:rPr>
      </w:pPr>
      <w:r w:rsidRPr="00463A43">
        <w:rPr>
          <w:rFonts w:asciiTheme="minorHAnsi" w:hAnsiTheme="minorHAnsi" w:cstheme="minorHAnsi"/>
          <w:b/>
          <w:sz w:val="24"/>
          <w:szCs w:val="24"/>
          <w:lang w:val="pt-BR"/>
        </w:rPr>
        <w:t>AOP Lirac Rouge 2018– cuvée Via Secreta</w:t>
      </w:r>
    </w:p>
    <w:p w:rsidR="001E1048" w:rsidRPr="00463A43" w:rsidRDefault="001E1048" w:rsidP="001E1048">
      <w:pPr>
        <w:rPr>
          <w:rFonts w:asciiTheme="minorHAnsi" w:hAnsiTheme="minorHAnsi" w:cstheme="minorHAnsi"/>
          <w:b/>
          <w:color w:val="FF0000"/>
        </w:rPr>
      </w:pPr>
      <w:r w:rsidRPr="00463A43">
        <w:rPr>
          <w:rFonts w:asciiTheme="minorHAnsi" w:hAnsiTheme="minorHAnsi" w:cstheme="minorHAnsi"/>
          <w:b/>
          <w:color w:val="FF0000"/>
        </w:rPr>
        <w:t xml:space="preserve">91-93 Wine </w:t>
      </w:r>
      <w:proofErr w:type="spellStart"/>
      <w:r w:rsidRPr="00463A43">
        <w:rPr>
          <w:rFonts w:asciiTheme="minorHAnsi" w:hAnsiTheme="minorHAnsi" w:cstheme="minorHAnsi"/>
          <w:b/>
          <w:color w:val="FF0000"/>
        </w:rPr>
        <w:t>Advocate</w:t>
      </w:r>
      <w:proofErr w:type="spellEnd"/>
    </w:p>
    <w:p w:rsidR="001E1048" w:rsidRPr="00463A43" w:rsidRDefault="001E1048" w:rsidP="001E1048">
      <w:pPr>
        <w:jc w:val="both"/>
        <w:rPr>
          <w:rFonts w:asciiTheme="minorHAnsi" w:hAnsiTheme="minorHAnsi" w:cstheme="minorHAnsi"/>
          <w:b/>
          <w:sz w:val="24"/>
          <w:szCs w:val="24"/>
          <w:lang w:val="pt-BR"/>
        </w:rPr>
      </w:pPr>
    </w:p>
    <w:p w:rsidR="001E1048" w:rsidRPr="00463A43" w:rsidRDefault="001E1048" w:rsidP="001E1048">
      <w:pPr>
        <w:rPr>
          <w:rFonts w:asciiTheme="minorHAnsi" w:hAnsiTheme="minorHAnsi" w:cstheme="minorHAnsi"/>
          <w:sz w:val="16"/>
          <w:szCs w:val="16"/>
          <w:lang w:val="pt-BR"/>
        </w:rPr>
      </w:pPr>
    </w:p>
    <w:p w:rsidR="001E1048" w:rsidRPr="00463A43" w:rsidRDefault="001E1048" w:rsidP="001E1048">
      <w:pPr>
        <w:jc w:val="both"/>
        <w:rPr>
          <w:rFonts w:asciiTheme="minorHAnsi" w:hAnsiTheme="minorHAnsi" w:cstheme="minorHAnsi"/>
          <w:b/>
          <w:bCs/>
          <w:iCs/>
        </w:rPr>
      </w:pPr>
      <w:r w:rsidRPr="00463A43">
        <w:rPr>
          <w:rFonts w:asciiTheme="minorHAnsi" w:hAnsiTheme="minorHAnsi" w:cstheme="minorHAnsi"/>
          <w:b/>
          <w:bCs/>
          <w:iCs/>
        </w:rPr>
        <w:t xml:space="preserve">Cépages : </w:t>
      </w:r>
      <w:r w:rsidRPr="00463A43">
        <w:rPr>
          <w:rFonts w:asciiTheme="minorHAnsi" w:hAnsiTheme="minorHAnsi" w:cstheme="minorHAnsi"/>
          <w:b/>
          <w:bCs/>
          <w:iCs/>
        </w:rPr>
        <w:tab/>
      </w:r>
    </w:p>
    <w:p w:rsidR="001E1048" w:rsidRPr="00463A43" w:rsidRDefault="001E1048" w:rsidP="001E1048">
      <w:pPr>
        <w:jc w:val="both"/>
        <w:rPr>
          <w:rFonts w:asciiTheme="minorHAnsi" w:hAnsiTheme="minorHAnsi" w:cstheme="minorHAnsi"/>
          <w:bCs/>
          <w:iCs/>
        </w:rPr>
      </w:pPr>
      <w:r w:rsidRPr="00463A43">
        <w:rPr>
          <w:rFonts w:asciiTheme="minorHAnsi" w:hAnsiTheme="minorHAnsi" w:cstheme="minorHAnsi"/>
          <w:bCs/>
          <w:iCs/>
        </w:rPr>
        <w:t>Syrah 20%, Grenache 20%, Mourvèdre 40%, Cinsault</w:t>
      </w:r>
      <w:r w:rsidRPr="00463A43">
        <w:rPr>
          <w:rFonts w:asciiTheme="minorHAnsi" w:hAnsiTheme="minorHAnsi" w:cstheme="minorHAnsi"/>
          <w:bCs/>
          <w:i/>
          <w:iCs/>
        </w:rPr>
        <w:t xml:space="preserve"> </w:t>
      </w:r>
      <w:r w:rsidRPr="00463A43">
        <w:rPr>
          <w:rFonts w:asciiTheme="minorHAnsi" w:hAnsiTheme="minorHAnsi" w:cstheme="minorHAnsi"/>
          <w:bCs/>
          <w:iCs/>
        </w:rPr>
        <w:t>20%</w:t>
      </w:r>
    </w:p>
    <w:p w:rsidR="001E1048" w:rsidRPr="00463A43" w:rsidRDefault="001E1048" w:rsidP="001E1048">
      <w:pPr>
        <w:jc w:val="both"/>
        <w:rPr>
          <w:rFonts w:asciiTheme="minorHAnsi" w:hAnsiTheme="minorHAnsi" w:cstheme="minorHAnsi"/>
          <w:bCs/>
          <w:iCs/>
          <w:sz w:val="10"/>
        </w:rPr>
      </w:pPr>
      <w:r w:rsidRPr="00463A43">
        <w:rPr>
          <w:rFonts w:asciiTheme="minorHAnsi" w:hAnsiTheme="minorHAnsi" w:cstheme="minorHAnsi"/>
          <w:bCs/>
          <w:i/>
          <w:iCs/>
          <w:sz w:val="10"/>
        </w:rPr>
        <w:t> </w:t>
      </w:r>
      <w:r w:rsidRPr="00463A43">
        <w:rPr>
          <w:rFonts w:asciiTheme="minorHAnsi" w:hAnsiTheme="minorHAnsi" w:cstheme="minorHAnsi"/>
          <w:bCs/>
          <w:iCs/>
          <w:sz w:val="10"/>
        </w:rPr>
        <w:t xml:space="preserve"> </w:t>
      </w:r>
    </w:p>
    <w:p w:rsidR="001E1048" w:rsidRPr="00463A43" w:rsidRDefault="001E1048" w:rsidP="001E1048">
      <w:pPr>
        <w:jc w:val="both"/>
        <w:rPr>
          <w:rFonts w:asciiTheme="minorHAnsi" w:hAnsiTheme="minorHAnsi" w:cstheme="minorHAnsi"/>
          <w:bCs/>
          <w:iCs/>
        </w:rPr>
      </w:pPr>
      <w:r w:rsidRPr="00463A43">
        <w:rPr>
          <w:rFonts w:asciiTheme="minorHAnsi" w:hAnsiTheme="minorHAnsi" w:cstheme="minorHAnsi"/>
          <w:b/>
          <w:bCs/>
          <w:iCs/>
        </w:rPr>
        <w:t>Rendement :</w:t>
      </w:r>
      <w:r w:rsidRPr="00463A43">
        <w:rPr>
          <w:rFonts w:asciiTheme="minorHAnsi" w:hAnsiTheme="minorHAnsi" w:cstheme="minorHAnsi"/>
          <w:b/>
          <w:bCs/>
          <w:iCs/>
        </w:rPr>
        <w:tab/>
      </w:r>
      <w:r w:rsidRPr="00463A43">
        <w:rPr>
          <w:rFonts w:asciiTheme="minorHAnsi" w:hAnsiTheme="minorHAnsi" w:cstheme="minorHAnsi"/>
          <w:bCs/>
          <w:iCs/>
        </w:rPr>
        <w:t xml:space="preserve">22 hl/ha </w:t>
      </w:r>
    </w:p>
    <w:p w:rsidR="001E1048" w:rsidRPr="00463A43" w:rsidRDefault="001E1048" w:rsidP="001E1048">
      <w:pPr>
        <w:jc w:val="both"/>
        <w:rPr>
          <w:rFonts w:asciiTheme="minorHAnsi" w:hAnsiTheme="minorHAnsi" w:cstheme="minorHAnsi"/>
          <w:bCs/>
          <w:iCs/>
          <w:sz w:val="10"/>
        </w:rPr>
      </w:pPr>
      <w:r w:rsidRPr="00463A43">
        <w:rPr>
          <w:rFonts w:asciiTheme="minorHAnsi" w:hAnsiTheme="minorHAnsi" w:cstheme="minorHAnsi"/>
          <w:bCs/>
          <w:iCs/>
          <w:sz w:val="10"/>
        </w:rPr>
        <w:t xml:space="preserve">  </w:t>
      </w:r>
    </w:p>
    <w:p w:rsidR="001E1048" w:rsidRPr="00463A43" w:rsidRDefault="001E1048" w:rsidP="001E1048">
      <w:pPr>
        <w:jc w:val="both"/>
        <w:rPr>
          <w:rFonts w:asciiTheme="minorHAnsi" w:hAnsiTheme="minorHAnsi" w:cstheme="minorHAnsi"/>
          <w:b/>
          <w:bCs/>
          <w:iCs/>
        </w:rPr>
      </w:pPr>
      <w:r w:rsidRPr="00463A43">
        <w:rPr>
          <w:rFonts w:asciiTheme="minorHAnsi" w:hAnsiTheme="minorHAnsi" w:cstheme="minorHAnsi"/>
          <w:b/>
          <w:bCs/>
          <w:iCs/>
        </w:rPr>
        <w:t xml:space="preserve">Vinification : </w:t>
      </w:r>
      <w:r w:rsidRPr="00463A43">
        <w:rPr>
          <w:rFonts w:asciiTheme="minorHAnsi" w:hAnsiTheme="minorHAnsi" w:cstheme="minorHAnsi"/>
          <w:b/>
          <w:bCs/>
          <w:iCs/>
        </w:rPr>
        <w:tab/>
      </w:r>
      <w:r w:rsidRPr="00463A43">
        <w:rPr>
          <w:rFonts w:asciiTheme="minorHAnsi" w:hAnsiTheme="minorHAnsi" w:cstheme="minorHAnsi"/>
          <w:b/>
          <w:bCs/>
          <w:iCs/>
        </w:rPr>
        <w:tab/>
        <w:t xml:space="preserve"> </w:t>
      </w:r>
    </w:p>
    <w:p w:rsidR="001E1048" w:rsidRPr="00463A43" w:rsidRDefault="001E1048" w:rsidP="001E1048">
      <w:pPr>
        <w:jc w:val="both"/>
        <w:rPr>
          <w:rFonts w:asciiTheme="minorHAnsi" w:hAnsiTheme="minorHAnsi" w:cstheme="minorHAnsi"/>
          <w:bCs/>
          <w:iCs/>
          <w:sz w:val="10"/>
        </w:rPr>
      </w:pPr>
      <w:r w:rsidRPr="00463A43">
        <w:rPr>
          <w:rFonts w:asciiTheme="minorHAnsi" w:hAnsiTheme="minorHAnsi" w:cstheme="minorHAnsi"/>
          <w:bCs/>
          <w:iCs/>
        </w:rPr>
        <w:t>Vinification traditionnelle par type de cépage en cuve béton.</w:t>
      </w:r>
      <w:r w:rsidRPr="00463A43">
        <w:rPr>
          <w:rFonts w:asciiTheme="minorHAnsi" w:hAnsiTheme="minorHAnsi" w:cstheme="minorHAnsi"/>
          <w:bCs/>
          <w:iCs/>
          <w:sz w:val="10"/>
        </w:rPr>
        <w:t xml:space="preserve">  </w:t>
      </w:r>
    </w:p>
    <w:p w:rsidR="001E1048" w:rsidRPr="00463A43" w:rsidRDefault="001E1048" w:rsidP="001E1048">
      <w:pPr>
        <w:jc w:val="both"/>
        <w:rPr>
          <w:rFonts w:asciiTheme="minorHAnsi" w:hAnsiTheme="minorHAnsi" w:cstheme="minorHAnsi"/>
          <w:bCs/>
          <w:iCs/>
          <w:sz w:val="10"/>
        </w:rPr>
      </w:pPr>
    </w:p>
    <w:p w:rsidR="001E1048" w:rsidRPr="00463A43" w:rsidRDefault="001E1048" w:rsidP="001E1048">
      <w:pPr>
        <w:jc w:val="both"/>
        <w:rPr>
          <w:rFonts w:asciiTheme="minorHAnsi" w:hAnsiTheme="minorHAnsi" w:cstheme="minorHAnsi"/>
          <w:b/>
          <w:bCs/>
          <w:iCs/>
        </w:rPr>
      </w:pPr>
      <w:r w:rsidRPr="00463A43">
        <w:rPr>
          <w:rFonts w:asciiTheme="minorHAnsi" w:hAnsiTheme="minorHAnsi" w:cstheme="minorHAnsi"/>
          <w:b/>
          <w:bCs/>
          <w:i/>
          <w:iCs/>
        </w:rPr>
        <w:t>Dégustation :</w:t>
      </w:r>
      <w:r w:rsidRPr="00463A43">
        <w:rPr>
          <w:rFonts w:asciiTheme="minorHAnsi" w:hAnsiTheme="minorHAnsi" w:cstheme="minorHAnsi"/>
          <w:b/>
          <w:bCs/>
          <w:iCs/>
        </w:rPr>
        <w:tab/>
      </w:r>
      <w:r w:rsidRPr="00463A43">
        <w:rPr>
          <w:rFonts w:asciiTheme="minorHAnsi" w:hAnsiTheme="minorHAnsi" w:cstheme="minorHAnsi"/>
          <w:b/>
          <w:bCs/>
          <w:iCs/>
        </w:rPr>
        <w:tab/>
        <w:t xml:space="preserve"> </w:t>
      </w:r>
    </w:p>
    <w:p w:rsidR="001E1048" w:rsidRPr="00463A43" w:rsidRDefault="001E1048" w:rsidP="001E1048">
      <w:pPr>
        <w:jc w:val="both"/>
        <w:rPr>
          <w:rFonts w:asciiTheme="minorHAnsi" w:hAnsiTheme="minorHAnsi" w:cstheme="minorHAnsi"/>
          <w:b/>
          <w:bCs/>
          <w:iCs/>
        </w:rPr>
      </w:pPr>
      <w:r w:rsidRPr="00463A43">
        <w:rPr>
          <w:rFonts w:asciiTheme="minorHAnsi" w:hAnsiTheme="minorHAnsi" w:cstheme="minorHAnsi"/>
          <w:bCs/>
          <w:iCs/>
        </w:rPr>
        <w:t xml:space="preserve">Tout d’abord nous découvrons des arômes de poivre noir, de réglisse et ensuite une explosion de fruits noirs. Les tannins sont élégants et encore un peu jeunes. C’est un vin complexe et ample qui mérite d’être un peu attendu </w:t>
      </w:r>
    </w:p>
    <w:p w:rsidR="001E1048" w:rsidRPr="00463A43" w:rsidRDefault="001E1048" w:rsidP="001E1048">
      <w:pPr>
        <w:jc w:val="both"/>
        <w:rPr>
          <w:rFonts w:asciiTheme="minorHAnsi" w:hAnsiTheme="minorHAnsi" w:cstheme="minorHAnsi"/>
          <w:bCs/>
          <w:iCs/>
          <w:sz w:val="10"/>
        </w:rPr>
      </w:pPr>
      <w:r w:rsidRPr="00463A43">
        <w:rPr>
          <w:rFonts w:asciiTheme="minorHAnsi" w:hAnsiTheme="minorHAnsi" w:cstheme="minorHAnsi"/>
          <w:bCs/>
          <w:iCs/>
          <w:sz w:val="10"/>
        </w:rPr>
        <w:t xml:space="preserve">  </w:t>
      </w:r>
    </w:p>
    <w:p w:rsidR="001E1048" w:rsidRPr="00463A43" w:rsidRDefault="001E1048" w:rsidP="001E1048">
      <w:pPr>
        <w:jc w:val="both"/>
        <w:rPr>
          <w:rFonts w:asciiTheme="minorHAnsi" w:hAnsiTheme="minorHAnsi" w:cstheme="minorHAnsi"/>
          <w:b/>
          <w:bCs/>
          <w:iCs/>
        </w:rPr>
      </w:pPr>
      <w:r w:rsidRPr="00463A43">
        <w:rPr>
          <w:rFonts w:asciiTheme="minorHAnsi" w:hAnsiTheme="minorHAnsi" w:cstheme="minorHAnsi"/>
          <w:b/>
          <w:bCs/>
          <w:iCs/>
        </w:rPr>
        <w:t xml:space="preserve">Accompagnement gastronomique : </w:t>
      </w:r>
      <w:r w:rsidRPr="00463A43">
        <w:rPr>
          <w:rFonts w:asciiTheme="minorHAnsi" w:hAnsiTheme="minorHAnsi" w:cstheme="minorHAnsi"/>
          <w:b/>
          <w:bCs/>
          <w:iCs/>
        </w:rPr>
        <w:tab/>
        <w:t xml:space="preserve"> </w:t>
      </w:r>
    </w:p>
    <w:p w:rsidR="001E1048" w:rsidRPr="00463A43" w:rsidRDefault="001E1048" w:rsidP="001E1048">
      <w:pPr>
        <w:jc w:val="both"/>
        <w:rPr>
          <w:rFonts w:asciiTheme="minorHAnsi" w:hAnsiTheme="minorHAnsi" w:cstheme="minorHAnsi"/>
          <w:bCs/>
          <w:iCs/>
        </w:rPr>
      </w:pPr>
      <w:r w:rsidRPr="00463A43">
        <w:rPr>
          <w:rFonts w:asciiTheme="minorHAnsi" w:hAnsiTheme="minorHAnsi" w:cstheme="minorHAnsi"/>
          <w:bCs/>
          <w:iCs/>
        </w:rPr>
        <w:t>Servir à 17-18°C. Il sera très bon avec une belle côte de bœuf grillée, une daube Avignonnaise ou un osso bucco. Nous vous conseillons de le décanter une demi-heure avant de le déguster. A garder jusqu’à 8 ans.</w:t>
      </w:r>
    </w:p>
    <w:p w:rsidR="00FE129E" w:rsidRPr="00463A43" w:rsidRDefault="00FE129E" w:rsidP="00FE129E">
      <w:pPr>
        <w:jc w:val="both"/>
        <w:rPr>
          <w:rFonts w:asciiTheme="minorHAnsi" w:hAnsiTheme="minorHAnsi" w:cstheme="minorHAnsi"/>
          <w:b/>
          <w:bCs/>
          <w:iCs/>
        </w:rPr>
      </w:pPr>
      <w:r w:rsidRPr="00463A43">
        <w:rPr>
          <w:rFonts w:asciiTheme="minorHAnsi" w:hAnsiTheme="minorHAnsi" w:cstheme="minorHAnsi"/>
          <w:b/>
          <w:bCs/>
          <w:iCs/>
        </w:rPr>
        <w:t xml:space="preserve">Accompagnement gastronomique : </w:t>
      </w:r>
      <w:r w:rsidRPr="00463A43">
        <w:rPr>
          <w:rFonts w:asciiTheme="minorHAnsi" w:hAnsiTheme="minorHAnsi" w:cstheme="minorHAnsi"/>
          <w:b/>
          <w:bCs/>
          <w:iCs/>
        </w:rPr>
        <w:tab/>
        <w:t xml:space="preserve"> </w:t>
      </w:r>
    </w:p>
    <w:p w:rsidR="00FE129E" w:rsidRPr="00463A43" w:rsidRDefault="00FE129E" w:rsidP="00FE129E">
      <w:pPr>
        <w:jc w:val="both"/>
        <w:rPr>
          <w:rFonts w:asciiTheme="minorHAnsi" w:hAnsiTheme="minorHAnsi" w:cstheme="minorHAnsi"/>
          <w:bCs/>
          <w:iCs/>
        </w:rPr>
      </w:pPr>
      <w:r w:rsidRPr="00463A43">
        <w:rPr>
          <w:rFonts w:asciiTheme="minorHAnsi" w:hAnsiTheme="minorHAnsi" w:cstheme="minorHAnsi"/>
          <w:bCs/>
          <w:iCs/>
        </w:rPr>
        <w:t xml:space="preserve">Servir à 10-12° C. Vous pourrez le déguster seul, avec du poisson grillé, des sushis ou du fromage de chèvre ou de la charcuterie. Il est parfait avec une Bouillabaisse ou une dorade grillée farcie au fenouil. </w:t>
      </w:r>
    </w:p>
    <w:p w:rsidR="00FE129E" w:rsidRPr="00463A43" w:rsidRDefault="00FE129E" w:rsidP="00FE129E">
      <w:pPr>
        <w:jc w:val="both"/>
        <w:rPr>
          <w:rFonts w:asciiTheme="minorHAnsi" w:hAnsiTheme="minorHAnsi" w:cstheme="minorHAnsi"/>
          <w:bCs/>
          <w:iCs/>
        </w:rPr>
      </w:pPr>
    </w:p>
    <w:p w:rsidR="007526B0" w:rsidRPr="00463A43" w:rsidRDefault="007526B0" w:rsidP="007526B0">
      <w:pPr>
        <w:jc w:val="both"/>
        <w:rPr>
          <w:rFonts w:asciiTheme="minorHAnsi" w:hAnsiTheme="minorHAnsi" w:cstheme="minorHAnsi"/>
        </w:rPr>
      </w:pPr>
    </w:p>
    <w:p w:rsidR="00D03BA8" w:rsidRPr="007526B0" w:rsidRDefault="00D03BA8">
      <w:pPr>
        <w:rPr>
          <w:rFonts w:asciiTheme="minorHAnsi" w:hAnsiTheme="minorHAnsi" w:cstheme="minorHAnsi"/>
          <w:bCs/>
          <w:iCs/>
        </w:rPr>
      </w:pPr>
    </w:p>
    <w:sectPr w:rsidR="00D03BA8" w:rsidRPr="007526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C1" w:rsidRDefault="00F720C1" w:rsidP="007526B0">
      <w:r>
        <w:separator/>
      </w:r>
    </w:p>
  </w:endnote>
  <w:endnote w:type="continuationSeparator" w:id="0">
    <w:p w:rsidR="00F720C1" w:rsidRDefault="00F720C1" w:rsidP="007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C1" w:rsidRDefault="00F720C1" w:rsidP="007526B0">
      <w:r>
        <w:separator/>
      </w:r>
    </w:p>
  </w:footnote>
  <w:footnote w:type="continuationSeparator" w:id="0">
    <w:p w:rsidR="00F720C1" w:rsidRDefault="00F720C1" w:rsidP="0075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rsidP="007526B0">
    <w:pPr>
      <w:jc w:val="center"/>
      <w:rPr>
        <w:i/>
        <w:color w:val="833C0B" w:themeColor="accent2" w:themeShade="80"/>
        <w:sz w:val="22"/>
        <w:szCs w:val="22"/>
      </w:rPr>
    </w:pPr>
    <w:r>
      <w:rPr>
        <w:i/>
        <w:noProof/>
        <w:color w:val="833C0B" w:themeColor="accent2" w:themeShade="80"/>
        <w:sz w:val="22"/>
        <w:szCs w:val="22"/>
      </w:rPr>
      <w:drawing>
        <wp:inline distT="0" distB="0" distL="0" distR="0" wp14:anchorId="3CFF656F" wp14:editId="2CE31B68">
          <wp:extent cx="1704975" cy="114150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DEVOY MARTINE logo 2021 gris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88" cy="1152157"/>
                  </a:xfrm>
                  <a:prstGeom prst="rect">
                    <a:avLst/>
                  </a:prstGeom>
                </pic:spPr>
              </pic:pic>
            </a:graphicData>
          </a:graphic>
        </wp:inline>
      </w:drawing>
    </w:r>
  </w:p>
  <w:p w:rsidR="007526B0" w:rsidRPr="00463A43" w:rsidRDefault="007526B0" w:rsidP="007526B0">
    <w:pPr>
      <w:jc w:val="center"/>
      <w:rPr>
        <w:rFonts w:asciiTheme="minorHAnsi" w:hAnsiTheme="minorHAnsi" w:cstheme="minorHAnsi"/>
        <w:color w:val="808080" w:themeColor="background1" w:themeShade="80"/>
        <w:sz w:val="22"/>
        <w:szCs w:val="22"/>
      </w:rPr>
    </w:pPr>
    <w:r w:rsidRPr="00463A43">
      <w:rPr>
        <w:rFonts w:asciiTheme="minorHAnsi" w:hAnsiTheme="minorHAnsi" w:cstheme="minorHAnsi"/>
        <w:color w:val="808080" w:themeColor="background1" w:themeShade="80"/>
        <w:sz w:val="22"/>
        <w:szCs w:val="22"/>
      </w:rPr>
      <w:t>AOP LIRAC, AOP CÔTES DU RHÔNE, IGP VINS DE PAYS</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EARL LOMBARDO M. &amp; V. Vignerons Indépendants</w:t>
    </w:r>
    <w:r>
      <w:rPr>
        <w:rFonts w:asciiTheme="minorHAnsi" w:hAnsiTheme="minorHAnsi" w:cstheme="minorHAnsi"/>
        <w:color w:val="808080" w:themeColor="background1" w:themeShade="80"/>
      </w:rPr>
      <w:t xml:space="preserve"> depuis 1881</w:t>
    </w:r>
    <w:r w:rsidRPr="00463A43">
      <w:rPr>
        <w:rFonts w:asciiTheme="minorHAnsi" w:hAnsiTheme="minorHAnsi" w:cstheme="minorHAnsi"/>
        <w:color w:val="808080" w:themeColor="background1" w:themeShade="80"/>
      </w:rPr>
      <w:t xml:space="preserve"> – 448 RN 580 -  30126 Saint-Laurent-Des-Arbres </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Tél </w:t>
    </w:r>
    <w:proofErr w:type="gramStart"/>
    <w:r w:rsidRPr="00463A43">
      <w:rPr>
        <w:rFonts w:asciiTheme="minorHAnsi" w:hAnsiTheme="minorHAnsi" w:cstheme="minorHAnsi"/>
        <w:color w:val="808080" w:themeColor="background1" w:themeShade="80"/>
      </w:rPr>
      <w:t>:+</w:t>
    </w:r>
    <w:proofErr w:type="gramEnd"/>
    <w:r w:rsidRPr="00463A43">
      <w:rPr>
        <w:rFonts w:asciiTheme="minorHAnsi" w:hAnsiTheme="minorHAnsi" w:cstheme="minorHAnsi"/>
        <w:color w:val="808080" w:themeColor="background1" w:themeShade="80"/>
      </w:rPr>
      <w:t xml:space="preserve">33 (0)4 66 50 01 23 –– email : </w:t>
    </w:r>
    <w:hyperlink r:id="rId2" w:history="1">
      <w:r w:rsidRPr="00463A43">
        <w:rPr>
          <w:rStyle w:val="Lienhypertexte"/>
          <w:rFonts w:asciiTheme="minorHAnsi" w:hAnsiTheme="minorHAnsi" w:cstheme="minorHAnsi"/>
          <w:color w:val="808080" w:themeColor="background1" w:themeShade="80"/>
        </w:rPr>
        <w:t>ledevoymartine@sfr.fr</w:t>
      </w:r>
    </w:hyperlink>
    <w:r w:rsidRPr="00463A43">
      <w:rPr>
        <w:rFonts w:asciiTheme="minorHAnsi" w:hAnsiTheme="minorHAnsi" w:cstheme="minorHAnsi"/>
        <w:color w:val="808080" w:themeColor="background1" w:themeShade="80"/>
      </w:rPr>
      <w:t xml:space="preserve"> – site : www.chateauledevoymartine.com</w:t>
    </w:r>
  </w:p>
  <w:p w:rsidR="007526B0" w:rsidRDefault="007526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0"/>
    <w:rsid w:val="001E1048"/>
    <w:rsid w:val="007526B0"/>
    <w:rsid w:val="00D03BA8"/>
    <w:rsid w:val="00F720C1"/>
    <w:rsid w:val="00FE1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33F4-FD22-4F79-A7CF-3E2B6EFF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B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6B0"/>
    <w:pPr>
      <w:tabs>
        <w:tab w:val="center" w:pos="4536"/>
        <w:tab w:val="right" w:pos="9072"/>
      </w:tabs>
    </w:pPr>
  </w:style>
  <w:style w:type="character" w:customStyle="1" w:styleId="En-tteCar">
    <w:name w:val="En-tête Car"/>
    <w:basedOn w:val="Policepardfaut"/>
    <w:link w:val="En-tte"/>
    <w:uiPriority w:val="99"/>
    <w:rsid w:val="007526B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26B0"/>
    <w:pPr>
      <w:tabs>
        <w:tab w:val="center" w:pos="4536"/>
        <w:tab w:val="right" w:pos="9072"/>
      </w:tabs>
    </w:pPr>
  </w:style>
  <w:style w:type="character" w:customStyle="1" w:styleId="PieddepageCar">
    <w:name w:val="Pied de page Car"/>
    <w:basedOn w:val="Policepardfaut"/>
    <w:link w:val="Pieddepage"/>
    <w:uiPriority w:val="99"/>
    <w:rsid w:val="007526B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52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devoymartine@sfr.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LOMBARDO</dc:creator>
  <cp:keywords/>
  <dc:description/>
  <cp:lastModifiedBy>EARL LOMBARDO</cp:lastModifiedBy>
  <cp:revision>2</cp:revision>
  <dcterms:created xsi:type="dcterms:W3CDTF">2021-03-25T16:51:00Z</dcterms:created>
  <dcterms:modified xsi:type="dcterms:W3CDTF">2021-03-25T16:51:00Z</dcterms:modified>
</cp:coreProperties>
</file>